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Free Form"/>
        <w:jc w:val="center"/>
        <w:rPr>
          <w:rFonts w:ascii="Times New Roman" w:cs="Times New Roman" w:hAnsi="Times New Roman" w:eastAsia="Times New Roman"/>
          <w:b w:val="1"/>
          <w:bCs w:val="1"/>
          <w:outline w:val="0"/>
          <w:color w:val="000000"/>
          <w:sz w:val="28"/>
          <w:szCs w:val="28"/>
          <w:u w:color="000000"/>
          <w14:textFill>
            <w14:solidFill>
              <w14:srgbClr w14:val="000000"/>
            </w14:solidFill>
          </w14:textFill>
        </w:rPr>
      </w:pPr>
      <w:r>
        <w:rPr>
          <w:rFonts w:ascii="Times New Roman" w:hAnsi="Times New Roman"/>
          <w:b w:val="1"/>
          <w:bCs w:val="1"/>
          <w:outline w:val="0"/>
          <w:color w:val="000000"/>
          <w:sz w:val="28"/>
          <w:szCs w:val="28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Using Friction Force Microscopy to study Molecular Recognition</w:t>
      </w:r>
    </w:p>
    <w:p>
      <w:pPr>
        <w:pStyle w:val="Free Form"/>
        <w:rPr>
          <w:rFonts w:ascii="Times New Roman" w:cs="Times New Roman" w:hAnsi="Times New Roman" w:eastAsia="Times New Roman"/>
          <w:b w:val="1"/>
          <w:bCs w:val="1"/>
          <w:outline w:val="0"/>
          <w:color w:val="000000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Free Form"/>
        <w:jc w:val="center"/>
        <w:rPr>
          <w:rFonts w:ascii="Times New Roman" w:cs="Times New Roman" w:hAnsi="Times New Roman" w:eastAsia="Times New Roman"/>
          <w:b w:val="1"/>
          <w:bCs w:val="1"/>
          <w:outline w:val="0"/>
          <w:color w:val="000000"/>
          <w:u w:color="000000"/>
          <w14:textFill>
            <w14:solidFill>
              <w14:srgbClr w14:val="000000"/>
            </w14:solidFill>
          </w14:textFill>
        </w:rPr>
      </w:pPr>
      <w:r>
        <w:rPr>
          <w:rFonts w:ascii="Times New Roman" w:hAnsi="Times New Roman"/>
          <w:b w:val="1"/>
          <w:bCs w:val="1"/>
          <w:outline w:val="0"/>
          <w:color w:val="000000"/>
          <w:u w:val="single" w:color="000000"/>
          <w:rtl w:val="0"/>
          <w:lang w:val="en-US"/>
          <w14:textFill>
            <w14:solidFill>
              <w14:srgbClr w14:val="000000"/>
            </w14:solidFill>
          </w14:textFill>
        </w:rPr>
        <w:t>Andrzej J. Kulik</w:t>
      </w:r>
      <w:r>
        <w:rPr>
          <w:rFonts w:ascii="Times New Roman" w:hAnsi="Times New Roman"/>
          <w:b w:val="1"/>
          <w:bCs w:val="1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,  Maciej Dendzik,  Malgorzata Lekka,  Wieslaw Nowak</w:t>
      </w:r>
    </w:p>
    <w:p>
      <w:pPr>
        <w:pStyle w:val="Free Form"/>
        <w:jc w:val="center"/>
        <w:rPr>
          <w:rFonts w:ascii="Times New Roman" w:cs="Times New Roman" w:hAnsi="Times New Roman" w:eastAsia="Times New Roman"/>
          <w:b w:val="1"/>
          <w:bCs w:val="1"/>
          <w:outline w:val="0"/>
          <w:color w:val="000000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Free Form"/>
        <w:jc w:val="center"/>
        <w:rPr>
          <w:rFonts w:ascii="Times New Roman" w:cs="Times New Roman" w:hAnsi="Times New Roman" w:eastAsia="Times New Roman"/>
          <w:i w:val="1"/>
          <w:iCs w:val="1"/>
          <w:outline w:val="0"/>
          <w:color w:val="000000"/>
          <w:u w:color="000000"/>
          <w14:textFill>
            <w14:solidFill>
              <w14:srgbClr w14:val="000000"/>
            </w14:solidFill>
          </w14:textFill>
        </w:rPr>
      </w:pPr>
      <w:r>
        <w:rPr>
          <w:rFonts w:ascii="Times New Roman" w:hAnsi="Times New Roman"/>
          <w:i w:val="1"/>
          <w:iCs w:val="1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EPFL, KTH, PAN, UMK</w:t>
      </w:r>
    </w:p>
    <w:p>
      <w:pPr>
        <w:pStyle w:val="Free Form"/>
        <w:rPr>
          <w:rFonts w:ascii="Times New Roman" w:cs="Times New Roman" w:hAnsi="Times New Roman" w:eastAsia="Times New Roman"/>
          <w:outline w:val="0"/>
          <w:color w:val="000000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Free Form"/>
        <w:jc w:val="both"/>
        <w:rPr>
          <w:rFonts w:ascii="Times New Roman" w:cs="Times New Roman" w:hAnsi="Times New Roman" w:eastAsia="Times New Roman"/>
          <w:outline w:val="0"/>
          <w:color w:val="000000"/>
          <w:u w:color="000000"/>
          <w14:textFill>
            <w14:solidFill>
              <w14:srgbClr w14:val="000000"/>
            </w14:solidFill>
          </w14:textFill>
        </w:rPr>
      </w:pPr>
      <w:r>
        <w:rPr>
          <w:rFonts w:ascii="Times New Roman" w:hAnsi="Times New Roman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Classical pull-up AFM experiments are used to study interaction between proteins. The main drawback of the method is only 1% of successful events, since low coverage of the sample surface has to be used to prevent multiple interactions. The tedious elimination of hundreds of   F-d curves without unbinding events asks for specialized software or lot of time.</w:t>
      </w:r>
    </w:p>
    <w:p>
      <w:pPr>
        <w:pStyle w:val="Free Form"/>
        <w:jc w:val="both"/>
        <w:rPr>
          <w:rFonts w:ascii="Times New Roman" w:cs="Times New Roman" w:hAnsi="Times New Roman" w:eastAsia="Times New Roman"/>
          <w:outline w:val="0"/>
          <w:color w:val="000000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Free Form"/>
        <w:jc w:val="both"/>
        <w:rPr>
          <w:rFonts w:ascii="Times New Roman" w:cs="Times New Roman" w:hAnsi="Times New Roman" w:eastAsia="Times New Roman"/>
          <w:outline w:val="0"/>
          <w:color w:val="000000"/>
          <w:u w:color="000000"/>
          <w14:textFill>
            <w14:solidFill>
              <w14:srgbClr w14:val="000000"/>
            </w14:solidFill>
          </w14:textFill>
        </w:rPr>
      </w:pPr>
      <w:r>
        <w:rPr>
          <w:rFonts w:ascii="Times New Roman" w:hAnsi="Times New Roman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Lateral (Friction Force) unbinding is not only permitting for faster pulling speeds but also allows for quick localization of binding sites directly on a friction image. However, the exact calibration of lateral force constant can be tricky and often requires specialized equipment. </w:t>
      </w:r>
    </w:p>
    <w:p>
      <w:pPr>
        <w:pStyle w:val="Free Form"/>
        <w:jc w:val="both"/>
        <w:rPr>
          <w:rFonts w:ascii="Times New Roman" w:cs="Times New Roman" w:hAnsi="Times New Roman" w:eastAsia="Times New Roman"/>
          <w:outline w:val="0"/>
          <w:color w:val="000000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Free Form"/>
        <w:jc w:val="both"/>
        <w:rPr>
          <w:rFonts w:ascii="Times New Roman" w:cs="Times New Roman" w:hAnsi="Times New Roman" w:eastAsia="Times New Roman"/>
          <w:outline w:val="0"/>
          <w:color w:val="000000"/>
          <w:u w:color="000000"/>
          <w14:textFill>
            <w14:solidFill>
              <w14:srgbClr w14:val="000000"/>
            </w14:solidFill>
          </w14:textFill>
        </w:rPr>
      </w:pPr>
      <w:r>
        <w:rPr>
          <w:rFonts w:ascii="Times New Roman" w:hAnsi="Times New Roman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Here, we present an easy and fast method for lateral force calibration (SMOK - Single Molecule Optimized (K)Calibration). The method is based on scanning a dextran-covered surface at an angle (22.5 degrees) with respect to the surface. The characteristic kink on force-distance curve (1 nN) corresponding to the single molecule unfolding, is seen on both: normal and lateral signals.</w:t>
      </w:r>
    </w:p>
    <w:p>
      <w:pPr>
        <w:pStyle w:val="Free Form"/>
        <w:jc w:val="both"/>
        <w:rPr>
          <w:outline w:val="0"/>
          <w:color w:val="000000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Free Form"/>
        <w:rPr>
          <w:outline w:val="0"/>
          <w:color w:val="000000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Free Form"/>
        <w:rPr>
          <w:rStyle w:val="None"/>
          <w:rFonts w:ascii="Times New Roman" w:cs="Times New Roman" w:hAnsi="Times New Roman" w:eastAsia="Times New Roman"/>
          <w:outline w:val="0"/>
          <w:color w:val="000000"/>
          <w:sz w:val="18"/>
          <w:szCs w:val="18"/>
          <w:u w:val="none" w:color="000000"/>
          <w14:textFill>
            <w14:solidFill>
              <w14:srgbClr w14:val="000000"/>
            </w14:solidFill>
          </w14:textFill>
        </w:rPr>
      </w:pP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"https://scholar.google.com/scholar?oi=bibs&amp;cluster=7309600882782547755&amp;btnI=1&amp;hl=en"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</w:rPr>
        <w:t>Probing fibronectin</w:t>
      </w:r>
      <w:r>
        <w:rPr>
          <w:rStyle w:val="Hyperlink.0"/>
          <w:rtl w:val="0"/>
        </w:rPr>
        <w:t>–</w:t>
      </w:r>
      <w:r>
        <w:rPr>
          <w:rStyle w:val="Hyperlink.0"/>
          <w:rtl w:val="0"/>
        </w:rPr>
        <w:t>antibody interactions using AFM force spectroscopy and lateral force microscopy</w:t>
      </w:r>
      <w:r>
        <w:rPr/>
        <w:fldChar w:fldCharType="end" w:fldLock="0"/>
      </w:r>
    </w:p>
    <w:p>
      <w:pPr>
        <w:pStyle w:val="Free Form"/>
        <w:rPr>
          <w:rStyle w:val="None"/>
          <w:rFonts w:ascii="Times New Roman" w:cs="Times New Roman" w:hAnsi="Times New Roman" w:eastAsia="Times New Roman"/>
          <w:outline w:val="0"/>
          <w:color w:val="000000"/>
          <w:sz w:val="18"/>
          <w:szCs w:val="18"/>
          <w:u w:color="000000"/>
          <w14:textFill>
            <w14:solidFill>
              <w14:srgbClr w14:val="000000"/>
            </w14:solidFill>
          </w14:textFill>
        </w:rPr>
      </w:pPr>
      <w:r>
        <w:rPr>
          <w:rStyle w:val="None"/>
          <w:rFonts w:ascii="Times New Roman" w:hAnsi="Times New Roman"/>
          <w:outline w:val="0"/>
          <w:color w:val="000000"/>
          <w:sz w:val="18"/>
          <w:szCs w:val="18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AJ Kulik, M Lekka, K Lee, G Pyka-Fo</w:t>
      </w:r>
      <w:r>
        <w:rPr>
          <w:rStyle w:val="None"/>
          <w:rFonts w:ascii="Times New Roman" w:hAnsi="Times New Roman" w:hint="default"/>
          <w:outline w:val="0"/>
          <w:color w:val="000000"/>
          <w:sz w:val="18"/>
          <w:szCs w:val="18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ś</w:t>
      </w:r>
      <w:r>
        <w:rPr>
          <w:rStyle w:val="None"/>
          <w:rFonts w:ascii="Times New Roman" w:hAnsi="Times New Roman"/>
          <w:outline w:val="0"/>
          <w:color w:val="000000"/>
          <w:sz w:val="18"/>
          <w:szCs w:val="18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ciak, W Nowak</w:t>
      </w:r>
      <w:r>
        <w:rPr>
          <w:rStyle w:val="None"/>
          <w:rFonts w:ascii="Times New Roman" w:hAnsi="Times New Roman" w:hint="default"/>
          <w:outline w:val="0"/>
          <w:color w:val="000000"/>
          <w:sz w:val="18"/>
          <w:szCs w:val="18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 </w:t>
      </w:r>
      <w:r>
        <w:rPr>
          <w:rStyle w:val="None"/>
          <w:rFonts w:ascii="Times New Roman" w:hAnsi="Times New Roman"/>
          <w:outline w:val="0"/>
          <w:color w:val="000000"/>
          <w:sz w:val="18"/>
          <w:szCs w:val="18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- Beilstein journal of nanotechnology, 2015</w:t>
      </w:r>
    </w:p>
    <w:p>
      <w:pPr>
        <w:pStyle w:val="Free Form"/>
        <w:rPr>
          <w:rStyle w:val="None"/>
          <w:rFonts w:ascii="Times New Roman" w:cs="Times New Roman" w:hAnsi="Times New Roman" w:eastAsia="Times New Roman"/>
          <w:outline w:val="0"/>
          <w:color w:val="000000"/>
          <w:sz w:val="18"/>
          <w:szCs w:val="18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Free Form"/>
        <w:rPr>
          <w:rStyle w:val="None"/>
          <w:rFonts w:ascii="Times New Roman" w:cs="Times New Roman" w:hAnsi="Times New Roman" w:eastAsia="Times New Roman"/>
          <w:outline w:val="0"/>
          <w:color w:val="000000"/>
          <w:sz w:val="18"/>
          <w:szCs w:val="18"/>
          <w:u w:val="none" w:color="000000"/>
          <w14:textFill>
            <w14:solidFill>
              <w14:srgbClr w14:val="000000"/>
            </w14:solidFill>
          </w14:textFill>
        </w:rPr>
      </w:pP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"https://scholar.google.com/scholar?oi=bibs&amp;cluster=12218091551490279121&amp;btnI=1&amp;hl=en"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</w:rPr>
        <w:t>A single-molecule stretching method for lateral and normal AFM lever calibration</w:t>
      </w:r>
      <w:r>
        <w:rPr/>
        <w:fldChar w:fldCharType="end" w:fldLock="0"/>
      </w:r>
    </w:p>
    <w:p>
      <w:pPr>
        <w:pStyle w:val="Free Form"/>
        <w:rPr>
          <w:rStyle w:val="None"/>
          <w:rFonts w:ascii="Times New Roman" w:cs="Times New Roman" w:hAnsi="Times New Roman" w:eastAsia="Times New Roman"/>
          <w:outline w:val="0"/>
          <w:color w:val="000000"/>
          <w:sz w:val="18"/>
          <w:szCs w:val="18"/>
          <w:u w:color="000000"/>
          <w14:textFill>
            <w14:solidFill>
              <w14:srgbClr w14:val="000000"/>
            </w14:solidFill>
          </w14:textFill>
        </w:rPr>
      </w:pPr>
      <w:r>
        <w:rPr>
          <w:rStyle w:val="None"/>
          <w:rFonts w:ascii="Times New Roman" w:hAnsi="Times New Roman"/>
          <w:outline w:val="0"/>
          <w:color w:val="000000"/>
          <w:sz w:val="18"/>
          <w:szCs w:val="18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M Dendzik, A Kulik, F Benedetti, PE Marszalek, G. Dietler</w:t>
      </w:r>
      <w:r>
        <w:rPr>
          <w:rStyle w:val="None"/>
          <w:rFonts w:ascii="Times New Roman" w:hAnsi="Times New Roman" w:hint="default"/>
          <w:outline w:val="0"/>
          <w:color w:val="000000"/>
          <w:sz w:val="18"/>
          <w:szCs w:val="18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 </w:t>
      </w:r>
      <w:r>
        <w:rPr>
          <w:rStyle w:val="None"/>
          <w:rFonts w:ascii="Times New Roman" w:hAnsi="Times New Roman"/>
          <w:outline w:val="0"/>
          <w:color w:val="000000"/>
          <w:sz w:val="18"/>
          <w:szCs w:val="18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- Nanotechnology, 2013</w:t>
      </w:r>
    </w:p>
    <w:p>
      <w:pPr>
        <w:pStyle w:val="Free Form"/>
        <w:rPr>
          <w:rStyle w:val="None"/>
          <w:outline w:val="0"/>
          <w:color w:val="000000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Free Form"/>
        <w:rPr>
          <w:rStyle w:val="None"/>
          <w:outline w:val="0"/>
          <w:color w:val="000000"/>
          <w:u w:color="000000"/>
          <w14:textFill>
            <w14:solidFill>
              <w14:srgbClr w14:val="000000"/>
            </w14:solidFill>
          </w14:textFill>
        </w:rPr>
      </w:pPr>
      <w:r>
        <w:rPr>
          <w:rStyle w:val="None"/>
        </w:rPr>
        <w:drawing xmlns:a="http://schemas.openxmlformats.org/drawingml/2006/main">
          <wp:inline distT="0" distB="0" distL="0" distR="0">
            <wp:extent cx="1893697" cy="1661984"/>
            <wp:effectExtent l="0" t="0" r="0" b="0"/>
            <wp:docPr id="1073741825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" descr="Image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3697" cy="166198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drawing xmlns:a="http://schemas.openxmlformats.org/drawingml/2006/main">
          <wp:inline distT="0" distB="0" distL="0" distR="0">
            <wp:extent cx="2446877" cy="1830190"/>
            <wp:effectExtent l="0" t="0" r="0" b="0"/>
            <wp:docPr id="1073741826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age" descr="Image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6877" cy="183019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drawing xmlns:a="http://schemas.openxmlformats.org/drawingml/2006/main">
          <wp:inline distT="0" distB="0" distL="0" distR="0">
            <wp:extent cx="1484038" cy="2231304"/>
            <wp:effectExtent l="0" t="0" r="0" b="0"/>
            <wp:docPr id="1073741827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Image" descr="Image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4038" cy="223130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Free Form"/>
        <w:rPr>
          <w:rStyle w:val="None"/>
          <w:outline w:val="0"/>
          <w:color w:val="000000"/>
          <w:u w:color="000000"/>
          <w14:textFill>
            <w14:solidFill>
              <w14:srgbClr w14:val="000000"/>
            </w14:solidFill>
          </w14:textFill>
        </w:rPr>
      </w:pPr>
      <w:r>
        <w:rPr>
          <w:rStyle w:val="None"/>
        </w:rPr>
        <mc:AlternateContent>
          <mc:Choice Requires="wps">
            <w:drawing xmlns:a="http://schemas.openxmlformats.org/drawingml/2006/main">
              <wp:inline distT="0" distB="0" distL="0" distR="0">
                <wp:extent cx="2044700" cy="1794511"/>
                <wp:effectExtent l="0" t="0" r="0" b="0"/>
                <wp:docPr id="1073741828" name="officeArt object" descr="Rectang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4700" cy="179451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rect id="_x0000_s1026" style="visibility:visible;width:161.0pt;height:141.3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rPr>
          <w:rStyle w:val="None"/>
        </w:rPr>
        <mc:AlternateContent>
          <mc:Choice Requires="wps">
            <w:drawing xmlns:a="http://schemas.openxmlformats.org/drawingml/2006/main">
              <wp:inline distT="0" distB="0" distL="0" distR="0">
                <wp:extent cx="2501900" cy="1871346"/>
                <wp:effectExtent l="0" t="0" r="0" b="0"/>
                <wp:docPr id="1073741829" name="officeArt object" descr="Rectang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1900" cy="187134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rect id="_x0000_s1027" style="visibility:visible;width:197.0pt;height:147.4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rPr>
          <w:rStyle w:val="None"/>
        </w:rPr>
        <mc:AlternateContent>
          <mc:Choice Requires="wps">
            <w:drawing xmlns:a="http://schemas.openxmlformats.org/drawingml/2006/main">
              <wp:inline distT="0" distB="0" distL="0" distR="0">
                <wp:extent cx="1257300" cy="1890396"/>
                <wp:effectExtent l="0" t="0" r="0" b="0"/>
                <wp:docPr id="1073741830" name="officeArt object" descr="Rectang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189039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rect id="_x0000_s1028" style="visibility:visible;width:99.0pt;height:148.9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</w:p>
    <w:p>
      <w:pPr>
        <w:pStyle w:val="Free Form"/>
        <w:rPr>
          <w:rStyle w:val="None"/>
          <w:outline w:val="0"/>
          <w:color w:val="000000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Free Form"/>
        <w:rPr>
          <w:rStyle w:val="None"/>
          <w:outline w:val="0"/>
          <w:color w:val="000000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Free Form"/>
        <w:rPr>
          <w:rStyle w:val="None"/>
          <w:outline w:val="0"/>
          <w:color w:val="000000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Free Form"/>
        <w:rPr>
          <w:rStyle w:val="None"/>
          <w:outline w:val="0"/>
          <w:color w:val="000000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Body A"/>
      </w:pPr>
      <w:r>
        <w:rPr>
          <w:rStyle w:val="None"/>
          <w:sz w:val="20"/>
          <w:szCs w:val="20"/>
        </w:rPr>
      </w:r>
    </w:p>
    <w:sectPr>
      <w:headerReference w:type="default" r:id="rId7"/>
      <w:headerReference w:type="even" r:id="rId8"/>
      <w:footerReference w:type="default" r:id="rId9"/>
      <w:footerReference w:type="even" r:id="rId10"/>
      <w:pgSz w:w="12240" w:h="15840" w:orient="portrait"/>
      <w:pgMar w:top="1440" w:right="1440" w:bottom="1440" w:left="1440" w:header="720" w:footer="864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Helvetica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Body A"/>
      <w:rPr>
        <w:sz w:val="20"/>
        <w:szCs w:val="20"/>
      </w:rPr>
    </w:pPr>
  </w:p>
  <w:p>
    <w:pPr>
      <w:pStyle w:val="Body A"/>
      <w:jc w:val="right"/>
    </w:pPr>
    <w:r>
      <w:rPr>
        <w:sz w:val="18"/>
        <w:szCs w:val="18"/>
        <w:rtl w:val="0"/>
        <w:lang w:val="en-US"/>
      </w:rPr>
      <w:t>AJK is grateful to G. Fantner (EPFL) for continuous support</w:t>
    </w:r>
  </w:p>
</w:ftr>
</file>

<file path=word/footer2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Body A"/>
      <w:rPr>
        <w:sz w:val="20"/>
        <w:szCs w:val="20"/>
      </w:rPr>
    </w:pPr>
  </w:p>
  <w:p>
    <w:pPr>
      <w:pStyle w:val="Body A"/>
      <w:jc w:val="right"/>
    </w:pPr>
    <w:r>
      <w:rPr>
        <w:sz w:val="18"/>
        <w:szCs w:val="18"/>
        <w:rtl w:val="0"/>
        <w:lang w:val="en-US"/>
      </w:rPr>
      <w:t>AJK is grateful to G. Fantner (EPFL) for continuous support</w:t>
    </w:r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/>
  </w:p>
</w:hdr>
</file>

<file path=word/header2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0" w:formatting="0"/>
  <w:defaultTabStop w:val="720"/>
  <w:autoHyphenation w:val="0"/>
  <w:evenAndOddHeaders w:val="1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Header &amp; Footer">
    <w:name w:val="Header &amp; Footer"/>
    <w:next w:val="Header &amp; Footer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Body A">
    <w:name w:val="Body A"/>
    <w:next w:val="Body A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Helvetica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:lang w:val="en-US"/>
      <w14:textFill>
        <w14:solidFill>
          <w14:srgbClr w14:val="000000"/>
        </w14:solidFill>
      </w14:textFill>
    </w:rPr>
  </w:style>
  <w:style w:type="paragraph" w:styleId="Free Form">
    <w:name w:val="Free Form"/>
    <w:next w:val="Free Form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Helvetica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:lang w:val="en-US"/>
      <w14:textFill>
        <w14:solidFill>
          <w14:srgbClr w14:val="000000"/>
        </w14:solidFill>
      </w14:textFill>
    </w:rPr>
  </w:style>
  <w:style w:type="character" w:styleId="None">
    <w:name w:val="None"/>
  </w:style>
  <w:style w:type="character" w:styleId="Hyperlink.0">
    <w:name w:val="Hyperlink.0"/>
    <w:basedOn w:val="None"/>
    <w:next w:val="Hyperlink.0"/>
    <w:rPr>
      <w:rFonts w:ascii="Times New Roman" w:cs="Times New Roman" w:hAnsi="Times New Roman" w:eastAsia="Times New Roman"/>
      <w:outline w:val="0"/>
      <w:color w:val="000099"/>
      <w:sz w:val="18"/>
      <w:szCs w:val="18"/>
      <w:u w:val="single" w:color="000099"/>
      <w14:textFill>
        <w14:solidFill>
          <w14:srgbClr w14:val="000099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header" Target="header1.xml"/><Relationship Id="rId8" Type="http://schemas.openxmlformats.org/officeDocument/2006/relationships/header" Target="header2.xml"/><Relationship Id="rId9" Type="http://schemas.openxmlformats.org/officeDocument/2006/relationships/footer" Target="footer1.xml"/><Relationship Id="rId10" Type="http://schemas.openxmlformats.org/officeDocument/2006/relationships/footer" Target="footer2.xml"/><Relationship Id="rId11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sx="100000" sy="100000" kx="0" ky="0" algn="b" rotWithShape="0" blurRad="38100" dist="20000" dir="540000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0000" dir="540000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