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</w:pPr>
      <w:r>
        <w:rPr>
          <w:rtl w:val="0"/>
        </w:rPr>
        <w:t xml:space="preserve">Enhanced conductance in doped graphene disks </w:t>
      </w:r>
    </w:p>
    <w:p>
      <w:pPr>
        <w:pStyle w:val="Title A"/>
      </w:pPr>
    </w:p>
    <w:p>
      <w:pPr>
        <w:pStyle w:val="Autorzy"/>
        <w:rPr>
          <w:vertAlign w:val="superscript"/>
        </w:rPr>
      </w:pPr>
      <w:r>
        <w:rPr>
          <w:caps w:val="0"/>
          <w:smallCaps w:val="0"/>
          <w:u w:val="single"/>
          <w:rtl w:val="0"/>
        </w:rPr>
        <w:t>Adam Rycerz</w:t>
      </w:r>
      <w:r>
        <w:rPr>
          <w:caps w:val="0"/>
          <w:smallCaps w:val="0"/>
          <w:vertAlign w:val="superscript"/>
          <w:rtl w:val="0"/>
        </w:rPr>
        <w:t>*</w:t>
      </w:r>
      <w:r>
        <w:rPr>
          <w:caps w:val="0"/>
          <w:smallCaps w:val="0"/>
          <w:rtl w:val="0"/>
        </w:rPr>
        <w:t xml:space="preserve">, </w:t>
      </w:r>
      <w:r>
        <w:rPr>
          <w:caps w:val="0"/>
          <w:smallCaps w:val="0"/>
          <w:rtl w:val="0"/>
        </w:rPr>
        <w:t>Piotr</w:t>
      </w:r>
      <w:r>
        <w:rPr>
          <w:caps w:val="0"/>
          <w:smallCaps w:val="0"/>
          <w:rtl w:val="0"/>
        </w:rPr>
        <w:t xml:space="preserve"> </w:t>
      </w:r>
      <w:r>
        <w:rPr>
          <w:caps w:val="0"/>
          <w:smallCaps w:val="0"/>
          <w:rtl w:val="0"/>
        </w:rPr>
        <w:t>Witkowski</w:t>
      </w:r>
    </w:p>
    <w:p>
      <w:pPr>
        <w:pStyle w:val="heading 1"/>
        <w:tabs>
          <w:tab w:val="clear" w:pos="284"/>
        </w:tabs>
        <w:spacing w:line="240" w:lineRule="auto"/>
        <w:rPr>
          <w:b w:val="0"/>
          <w:bCs w:val="0"/>
        </w:rPr>
      </w:pPr>
      <w:r>
        <w:rPr>
          <w:b w:val="0"/>
          <w:bCs w:val="0"/>
          <w:rtl w:val="0"/>
        </w:rPr>
        <w:t xml:space="preserve">Instytut Fizyki </w:t>
      </w:r>
      <w:r>
        <w:rPr>
          <w:b w:val="0"/>
          <w:bCs w:val="0"/>
          <w:rtl w:val="0"/>
        </w:rPr>
        <w:t>Teoretycznej</w:t>
      </w:r>
      <w:r>
        <w:rPr>
          <w:b w:val="0"/>
          <w:bCs w:val="0"/>
          <w:rtl w:val="0"/>
        </w:rPr>
        <w:t>, Uniwersytet Jagiello</w:t>
      </w:r>
      <w:r>
        <w:rPr>
          <w:b w:val="0"/>
          <w:bCs w:val="0"/>
          <w:rtl w:val="0"/>
        </w:rPr>
        <w:t>ń</w:t>
      </w:r>
      <w:r>
        <w:rPr>
          <w:b w:val="0"/>
          <w:bCs w:val="0"/>
          <w:rtl w:val="0"/>
        </w:rPr>
        <w:t xml:space="preserve">ski, ul. 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ojasiewicza 11, 30</w:t>
      </w:r>
      <w:r>
        <w:rPr>
          <w:b w:val="0"/>
          <w:bCs w:val="0"/>
          <w:rtl w:val="0"/>
        </w:rPr>
        <w:t>–</w:t>
      </w:r>
      <w:r>
        <w:rPr>
          <w:b w:val="0"/>
          <w:bCs w:val="0"/>
          <w:rtl w:val="0"/>
        </w:rPr>
        <w:t>348 Krak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w</w:t>
      </w:r>
    </w:p>
    <w:p>
      <w:pPr>
        <w:pStyle w:val="heading 1"/>
        <w:tabs>
          <w:tab w:val="clear" w:pos="284"/>
        </w:tabs>
        <w:spacing w:line="240" w:lineRule="auto"/>
      </w:pPr>
    </w:p>
    <w:p>
      <w:pPr>
        <w:pStyle w:val="email"/>
        <w:jc w:val="left"/>
      </w:pPr>
      <w:r>
        <w:rPr>
          <w:vertAlign w:val="superscript"/>
          <w:rtl w:val="0"/>
        </w:rPr>
        <w:t>*</w:t>
      </w:r>
      <w:r>
        <w:rPr>
          <w:rtl w:val="0"/>
        </w:rPr>
        <w:t xml:space="preserve">autor korespondencyjny: </w:t>
      </w:r>
      <w:r>
        <w:rPr>
          <w:rtl w:val="0"/>
        </w:rPr>
        <w:t>adam.rycerz</w:t>
      </w:r>
      <w:r>
        <w:rPr>
          <w:rtl w:val="0"/>
        </w:rPr>
        <w:t>@</w:t>
      </w:r>
      <w:r>
        <w:rPr>
          <w:rtl w:val="0"/>
        </w:rPr>
        <w:t>uj.edu.</w:t>
      </w:r>
      <w:r>
        <w:rPr>
          <w:rtl w:val="0"/>
        </w:rPr>
        <w:t>pl</w:t>
      </w:r>
    </w:p>
    <w:p>
      <w:pPr>
        <w:pStyle w:val="Body Text Indent"/>
      </w:pPr>
    </w:p>
    <w:p>
      <w:pPr>
        <w:pStyle w:val="Normal.0"/>
        <w:rPr>
          <w:color w:val="000000"/>
          <w:sz w:val="24"/>
        </w:rPr>
      </w:pPr>
      <w:r>
        <w:rPr>
          <w:rtl w:val="0"/>
        </w:rPr>
        <w:t xml:space="preserve">Recently, ballistic graphene </w:t>
      </w:r>
      <w:r>
        <w:rPr>
          <w:rtl w:val="0"/>
          <w:lang w:val="en-US"/>
        </w:rPr>
        <w:t xml:space="preserve">samples in a multimode regime </w:t>
      </w:r>
      <w:r>
        <w:rPr>
          <w:rtl w:val="0"/>
        </w:rPr>
        <w:t xml:space="preserve">were found to </w:t>
      </w:r>
      <w:r>
        <w:rPr>
          <w:rtl w:val="0"/>
          <w:lang w:val="en-US"/>
        </w:rPr>
        <w:t>show so-called sub-Sharvin charge transport, characterized</w:t>
      </w:r>
      <w:r>
        <w:rPr>
          <w:rtl w:val="0"/>
        </w:rPr>
        <w:t xml:space="preserve"> </w:t>
      </w:r>
      <w:r>
        <w:rPr>
          <w:rtl w:val="0"/>
          <w:lang w:val="en-US"/>
        </w:rPr>
        <w:t>by the conductance reduced by a factor</w:t>
      </w:r>
      <w:r>
        <w:rPr>
          <w:rtl w:val="0"/>
        </w:rPr>
        <w:t xml:space="preserve"> of </w:t>
      </w: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type m:val="lin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π</m:t>
            </m:r>
          </m:num>
          <m:den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4</m:t>
            </m:r>
          </m:den>
        </m:f>
      </m:oMath>
      <w:r>
        <w:rPr>
          <w:rtl w:val="0"/>
        </w:rPr>
        <w:t xml:space="preserve"> </w:t>
      </w:r>
      <w:r>
        <w:rPr>
          <w:rtl w:val="0"/>
          <w:lang w:val="en-US"/>
        </w:rPr>
        <w:t>comparing to standard Sharvin contacts in two-dimensional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electron gas, and the shot-noise power </w:t>
      </w:r>
      <w:r>
        <w:rPr>
          <w:rtl w:val="0"/>
        </w:rPr>
        <w:t xml:space="preserve">characterized by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≈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1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/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8</m:t>
        </m:r>
      </m:oMath>
      <w:r>
        <w:rPr>
          <w:rtl w:val="0"/>
        </w:rPr>
        <w:t xml:space="preserve"> (</w:t>
      </w:r>
      <w:r>
        <w:rPr>
          <w:rtl w:val="0"/>
          <w:lang w:val="en-US"/>
        </w:rPr>
        <w:t xml:space="preserve">with </w:t>
      </w:r>
      <w:r>
        <w:rPr>
          <w:i w:val="1"/>
          <w:iCs w:val="1"/>
          <w:rtl w:val="0"/>
        </w:rPr>
        <w:t>F</w:t>
      </w:r>
      <w:r>
        <w:rPr>
          <w:rtl w:val="0"/>
        </w:rPr>
        <w:t xml:space="preserve"> </w:t>
      </w:r>
      <w:r>
        <w:rPr>
          <w:rtl w:val="0"/>
        </w:rPr>
        <w:t xml:space="preserve">being </w:t>
      </w:r>
      <w:r>
        <w:rPr>
          <w:rtl w:val="0"/>
          <w:lang w:val="en-US"/>
        </w:rPr>
        <w:t>the Fano factor</w:t>
      </w:r>
      <w:r>
        <w:rPr>
          <w:rtl w:val="0"/>
        </w:rPr>
        <w:t xml:space="preserve">) [1]. Here we </w:t>
      </w:r>
      <w:r>
        <w:rPr>
          <w:rtl w:val="0"/>
          <w:lang w:val="it-IT"/>
        </w:rPr>
        <w:t>consider Corbino</w:t>
      </w:r>
      <w:r>
        <w:rPr>
          <w:rtl w:val="0"/>
        </w:rPr>
        <w:t xml:space="preserve"> </w:t>
      </w:r>
      <w:r>
        <w:rPr>
          <w:rtl w:val="0"/>
          <w:lang w:val="en-US"/>
        </w:rPr>
        <w:t>disks in graphene,</w:t>
      </w:r>
      <w:r>
        <w:rPr>
          <w:rtl w:val="0"/>
        </w:rPr>
        <w:t xml:space="preserve"> with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7"/>
                <w:szCs w:val="27"/>
              </w:rPr>
              <m:t>R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7"/>
                <w:szCs w:val="27"/>
              </w:rPr>
              <m:t>1</m:t>
            </m:r>
          </m:sub>
        </m:sSub>
      </m:oMath>
      <w:r>
        <w:rPr>
          <w:rtl w:val="0"/>
        </w:rPr>
        <w:t xml:space="preserve"> the inner and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R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2</m:t>
            </m:r>
          </m:sub>
        </m:sSub>
      </m:oMath>
      <w:r>
        <w:rPr>
          <w:rtl w:val="0"/>
        </w:rPr>
        <w:t xml:space="preserve"> the outer radius, finding that the multimode conductance is enhanced for any finite </w:t>
      </w: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type m:val="lin"/>
          </m:fPr>
          <m:num>
            <m:sSub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R</m:t>
                </m:r>
              </m:e>
              <m:sub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R</m:t>
                </m:r>
              </m:e>
              <m:sub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1</m:t>
                </m:r>
              </m:sub>
            </m:sSub>
          </m:den>
        </m:f>
      </m:oMath>
      <w:r>
        <w:rPr>
          <w:rtl w:val="0"/>
        </w:rPr>
        <w:t xml:space="preserve"> ratio, reaching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4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π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)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≈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0.8684</m:t>
        </m:r>
      </m:oMath>
      <w:r>
        <w:rPr>
          <w:rtl w:val="0"/>
        </w:rPr>
        <w:t xml:space="preserve"> of the Sharvin value for </w:t>
      </w:r>
      <m:oMath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R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2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/</m:t>
        </m:r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R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1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→</m:t>
        </m:r>
        <m:r>
          <m:rPr>
            <m:sty m:val="p"/>
          </m:rP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∞</m:t>
        </m:r>
      </m:oMath>
      <w:r>
        <w:rPr>
          <w:rtl w:val="0"/>
        </w:rPr>
        <w:t xml:space="preserve">. At the same limit, the Fano factor approaches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9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π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28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)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/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12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3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π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)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≈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0.1065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&lt;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1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/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8</m:t>
        </m:r>
      </m:oMath>
      <w:r>
        <w:rPr>
          <w:rtl w:val="0"/>
        </w:rPr>
        <w:t xml:space="preserve">. Closed-form approximating expressions for any </w:t>
      </w: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type m:val="lin"/>
          </m:fPr>
          <m:num>
            <m:sSub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R</m:t>
                </m:r>
              </m:e>
              <m:sub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R</m:t>
                </m:r>
              </m:e>
              <m:sub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1</m:t>
                </m:r>
              </m:sub>
            </m:sSub>
          </m:den>
        </m:f>
      </m:oMath>
      <w:r>
        <w:rPr>
          <w:rtl w:val="0"/>
        </w:rPr>
        <w:t xml:space="preserve"> are derived supposing incoherent scattering of Dirac fermions on asymmetric double barrier and compared with exact numerical results following from the mode-matching method. For </w:t>
      </w:r>
      <w:r>
        <w:rPr>
          <w:rtl w:val="0"/>
          <w:lang w:val="en-US"/>
        </w:rPr>
        <w:t>experimentally-accessible radii ratios</w:t>
      </w:r>
      <w:r>
        <w:rPr>
          <w:rtl w:val="0"/>
        </w:rPr>
        <w:t xml:space="preserve">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5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/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4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⩽</m:t>
        </m:r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R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2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/</m:t>
        </m:r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R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5"/>
                <w:szCs w:val="25"/>
              </w:rPr>
              <m:t>1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⩽</m:t>
        </m:r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2</m:t>
        </m:r>
      </m:oMath>
      <w:r>
        <w:rPr>
          <w:rtl w:val="0"/>
        </w:rPr>
        <w:t>, approximately 10 percent conductance enhancement above the value given in Ref.</w:t>
      </w:r>
      <w:r>
        <w:rPr>
          <w:rtl w:val="0"/>
        </w:rPr>
        <w:t> </w:t>
      </w:r>
      <w:r>
        <w:rPr>
          <w:rtl w:val="0"/>
        </w:rPr>
        <w:t xml:space="preserve">[1] , </w:t>
      </w:r>
      <w:r>
        <w:rPr>
          <w:rtl w:val="0"/>
          <w:lang w:val="en-US"/>
        </w:rPr>
        <w:t xml:space="preserve">and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  <w:lang w:val="en-US"/>
        </w:rPr>
        <w:t>similar shot-noise reduction</w:t>
      </w:r>
      <w:r>
        <w:rPr>
          <w:rtl w:val="0"/>
        </w:rPr>
        <w:t xml:space="preserve">, is predicted. The effects of </w:t>
      </w:r>
      <w:r>
        <w:rPr>
          <w:rtl w:val="0"/>
          <w:lang w:val="en-US"/>
        </w:rPr>
        <w:t xml:space="preserve">tuning the electrostatic potential barrier </w:t>
      </w:r>
      <w:r>
        <w:rPr>
          <w:rtl w:val="0"/>
        </w:rPr>
        <w:t xml:space="preserve">(preserving the cylindrical symmetry) </w:t>
      </w:r>
      <w:r>
        <w:rPr>
          <w:rtl w:val="0"/>
          <w:lang w:val="en-US"/>
        </w:rPr>
        <w:t>from rectangular to parabolic shape is also studied</w:t>
      </w:r>
      <w:r>
        <w:rPr>
          <w:rtl w:val="0"/>
        </w:rPr>
        <w:t xml:space="preserve"> </w:t>
      </w:r>
      <w:r>
        <w:rPr>
          <w:rtl w:val="0"/>
          <w:lang w:val="en-US"/>
        </w:rPr>
        <w:t>numerically,</w:t>
      </w:r>
      <w:r>
        <w:rPr>
          <w:rtl w:val="0"/>
        </w:rPr>
        <w:t xml:space="preserve"> </w:t>
      </w:r>
      <w:r>
        <w:rPr>
          <w:rtl w:val="0"/>
          <w:lang w:val="en-US"/>
        </w:rPr>
        <w:t>and the crossover to standard Sharvin transport regime is identified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The work was supported by the National Science Centre of Poland (NCN) via Grant No. 2014/14/E/ST3/00256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References</w:t>
      </w:r>
      <w:r>
        <w:rPr>
          <w:b w:val="1"/>
          <w:bCs w:val="1"/>
          <w:rtl w:val="0"/>
        </w:rPr>
        <w:t>:</w:t>
      </w:r>
    </w:p>
    <w:p>
      <w:pPr>
        <w:pStyle w:val="Normal.0"/>
      </w:pPr>
      <w:r>
        <w:rPr>
          <w:rtl w:val="0"/>
        </w:rPr>
        <w:t xml:space="preserve">[1] </w:t>
      </w:r>
      <w:r>
        <w:rPr>
          <w:rtl w:val="0"/>
        </w:rPr>
        <w:t xml:space="preserve">A. Rycerz and P. Witkowski, </w:t>
      </w:r>
      <w:r>
        <w:rPr>
          <w:i w:val="1"/>
          <w:iCs w:val="1"/>
          <w:rtl w:val="0"/>
          <w:lang w:val="en-US"/>
        </w:rPr>
        <w:t>Sub-Sharvin conductance and enhanced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shot noise in doped graphene,</w:t>
      </w:r>
      <w:r>
        <w:rPr>
          <w:rtl w:val="0"/>
        </w:rPr>
        <w:t xml:space="preserve"> Phys. Rev. B </w:t>
      </w:r>
      <w:r>
        <w:rPr>
          <w:b w:val="1"/>
          <w:bCs w:val="1"/>
          <w:rtl w:val="0"/>
        </w:rPr>
        <w:t>104</w:t>
      </w:r>
      <w:r>
        <w:rPr>
          <w:rtl w:val="0"/>
        </w:rPr>
        <w:t>, 165413</w:t>
      </w:r>
      <w:r>
        <w:rPr>
          <w:rtl w:val="0"/>
        </w:rPr>
        <w:t xml:space="preserve"> </w:t>
      </w:r>
      <w:r>
        <w:rPr>
          <w:rtl w:val="0"/>
        </w:rPr>
        <w:t>(2021).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"https://doi.org/10.1103/PhysRevB.104.165413"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https://doi.org/10.1103/PhysRevB.104.165413</w:t>
      </w:r>
      <w:r>
        <w:rPr/>
        <w:fldChar w:fldCharType="end" w:fldLock="0"/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8" w:right="1134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utorzy">
    <w:name w:val="Autorzy"/>
    <w:next w:val="Autorz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email">
    <w:name w:val="email"/>
    <w:next w:val="emai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284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